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5.png" ContentType="image/png"/>
  <Override PartName="/word/media/rId126.png" ContentType="image/png"/>
  <Override PartName="/word/media/rId132.png" ContentType="image/png"/>
  <Override PartName="/word/media/rId135.png" ContentType="image/png"/>
  <Override PartName="/word/media/rId141.png" ContentType="image/png"/>
  <Override PartName="/word/media/rId129.png" ContentType="image/png"/>
  <Override PartName="/word/media/rId138.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Turkey Hemorrhagic Enteritis Virus (THEV) Infection Highlights Upregulated Apoptosis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pPr>
        <w:pStyle w:val="FirstParagraph"/>
      </w:pPr>
      <w:r>
        <w:rPr>
          <w:b/>
          <w:bCs/>
        </w:rPr>
        <w:t xml:space="preserve">Background:</w:t>
      </w:r>
      <w:r>
        <w:t xml:space="preserve"> </w:t>
      </w:r>
      <w:r>
        <w:t xml:space="preserve">Infection with</w:t>
      </w:r>
      <w:r>
        <w:t xml:space="preserve"> </w:t>
      </w:r>
      <w:r>
        <w:rPr>
          <w:i/>
          <w:iCs/>
        </w:rPr>
        <w:t xml:space="preserve">Turkey Hemorrhagic Enteritis Virus (THEV)</w:t>
      </w:r>
      <w:r>
        <w:t xml:space="preserve"> </w:t>
      </w:r>
      <w:r>
        <w:t xml:space="preserve">can cause hemorrhagic enteritis, which affects turkey poults. This disease is characterized by immunosuppression (IMS) and bloody droppings. The clinical disease usually lasts only a few days but secondary opportunistic infections due to THEV-induced IMS extend the duration of illness and mortality, which exacerbates economic losses. Although an avirulent THEV strain with only subclinical disease is used as a vaccine, some immunosuppressive properties remain in this prophylactic strain. To elucidate the mechanisms mediating THEV-induced IMS, we performed the first transcriptomic analysis of a THEV infection using bulk RNA-sequencing.</w:t>
      </w:r>
      <w:r>
        <w:br/>
      </w:r>
      <w:r>
        <w:rPr>
          <w:b/>
          <w:bCs/>
        </w:rPr>
        <w:t xml:space="preserve">Methods:</w:t>
      </w:r>
      <w:r>
        <w:t xml:space="preserve"> </w:t>
      </w:r>
      <w:r>
        <w:t xml:space="preserve">After infecting a turkey B-cell line with the vaccine strain, samples in triplicates were collected at 4-, 12-, 24-, and 72-hours post-infection (hpi). Total RNA was extracted, and poly-Adenylated-tailed mRNAs were sequenced. Reads were mapped to the host turkey genome after trimming and gene expression was quantified with StringTie. Differential gene expression was performed with DESeq2 followed by functional enrichment analysis with gprofiler2 and DAVID from NCBI. RT-qPCR of select genes was performed to validate the RNA-seq data.</w:t>
      </w:r>
      <w:r>
        <w:br/>
      </w:r>
      <w:r>
        <w:rPr>
          <w:b/>
          <w:bCs/>
        </w:rPr>
        <w:t xml:space="preserve">Results:</w:t>
      </w:r>
      <w:r>
        <w:t xml:space="preserve"> </w:t>
      </w:r>
      <w:r>
        <w:t xml:space="preserve">A total of 2,343 and 3,295 differentially expressed genes (DEGs) were identified at 12-hpi and 24-hpi, respectively. At 12-hpi, 1,079 genes were upregulated and 1,264 genes downregulated, whereas 1,512 genes were upregulated and 1,783 genes downregulated at 24-hpi. The DEGs contributed to multiple biological processes including apoptosis, ER unfolded protein response, and cell maintenance. Multiple pro-apoptotic genes, including</w:t>
      </w:r>
      <w:r>
        <w:t xml:space="preserve"> </w:t>
      </w:r>
      <w:r>
        <w:rPr>
          <w:i/>
          <w:iCs/>
        </w:rPr>
        <w:t xml:space="preserve">APAF1, BNIP3L, BMF, BAK1, RIPK1, and FAS</w:t>
      </w:r>
      <w:r>
        <w:t xml:space="preserve"> </w:t>
      </w:r>
      <w:r>
        <w:t xml:space="preserve">were upregulated. Genes that play a role in ER stress-induced unfolded protein response including</w:t>
      </w:r>
      <w:r>
        <w:t xml:space="preserve"> </w:t>
      </w:r>
      <w:r>
        <w:rPr>
          <w:i/>
          <w:iCs/>
        </w:rPr>
        <w:t xml:space="preserve">VCP, UFD1, EDEM1, EDEM3, and ATF4</w:t>
      </w:r>
      <w:r>
        <w:t xml:space="preserve"> </w:t>
      </w:r>
      <w:r>
        <w:t xml:space="preserve">were also upregulated and may contribute to apoptosis.</w:t>
      </w:r>
      <w:r>
        <w:br/>
      </w:r>
      <w:r>
        <w:rPr>
          <w:b/>
          <w:bCs/>
        </w:rPr>
        <w:t xml:space="preserve">Conclusions:</w:t>
      </w:r>
      <w:r>
        <w:t xml:space="preserve"> </w:t>
      </w:r>
      <w:r>
        <w:t xml:space="preserve">Our data suggest that several biological processes and pathways including apoptosis, immune response, ER response to stress, ubiquitin-dependent protein catabolic process, and repression of essential cellular maintenance are important aspects of the host cell response to THEV infection. It is possible that interplay between multiple processes may mediate apoptosis of infected B-cells, leading to IMS.</w:t>
      </w:r>
    </w:p>
    <w:bookmarkEnd w:id="21"/>
    <w:bookmarkStart w:id="22" w:name="key-words"/>
    <w:p>
      <w:pPr>
        <w:pStyle w:val="Heading2"/>
      </w:pPr>
      <w:r>
        <w:t xml:space="preserve">KEY WORDS</w:t>
      </w:r>
    </w:p>
    <w:p>
      <w:pPr>
        <w:pStyle w:val="FirstParagraph"/>
      </w:pPr>
      <w:r>
        <w:t xml:space="preserve">Turkey hemorrhagic enteritis virus (THEV), Adenovirus, RNA sequencing, Apoptosis, Immunosuppression</w:t>
      </w:r>
      <w:r>
        <w:t xml:space="preserve"> </w:t>
      </w:r>
    </w:p>
    <w:bookmarkEnd w:id="22"/>
    <w:bookmarkStart w:id="23" w:name="introduction"/>
    <w:p>
      <w:pPr>
        <w:pStyle w:val="Heading2"/>
      </w:pPr>
      <w:r>
        <w:t xml:space="preserve">INTRODUCTION</w:t>
      </w:r>
    </w:p>
    <w:p>
      <w:pPr>
        <w:pStyle w:val="FirstParagraph"/>
      </w:pPr>
      <w:r>
        <w:t xml:space="preserve">Turkey hemorrhagic enteritis virus (THEV) belongs to genus</w:t>
      </w:r>
      <w:r>
        <w:t xml:space="preserve"> </w:t>
      </w:r>
      <w:r>
        <w:rPr>
          <w:i/>
          <w:iCs/>
        </w:rPr>
        <w:t xml:space="preserve">Siadenovirus</w:t>
      </w:r>
      <w:r>
        <w:t xml:space="preserve">, family</w:t>
      </w:r>
      <w:r>
        <w:t xml:space="preserve"> </w:t>
      </w:r>
      <w:r>
        <w:rPr>
          <w:i/>
          <w:iCs/>
        </w:rPr>
        <w:t xml:space="preserve">Adenoviridae</w:t>
      </w:r>
      <w:r>
        <w:t xml:space="preserve">, and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7-10 days. However, secondary bacterial infections may extend the duration of illness and increase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 leading to additional losses</w:t>
      </w:r>
      <w:r>
        <w:t xml:space="preserve"> </w:t>
      </w:r>
      <w:r>
        <w:t xml:space="preserve">(4, 5, 8–10)</w:t>
      </w:r>
      <w:r>
        <w:t xml:space="preserve">.</w:t>
      </w:r>
    </w:p>
    <w:p>
      <w:pPr>
        <w:pStyle w:val="BodyText"/>
      </w:pPr>
      <w:r>
        <w:t xml:space="preserve">It is well-established that THEV primarily infects and replicates in turkey B-cells of the bursa and spleen and to a lesser extent in macrophages, inducing apoptosis and necrosis. Consequently, a significant drop in the number of B-cells (specifically, IgM+ B-cells) and macrophages ensues along with increased T-cell counts with abnormal ratios of T-cell subpopulations (CD4+ and CD8+).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activated T-cells undergo clonal expansion and secrete type I (IFN-</w:t>
      </w:r>
      <m:oMath>
        <m:r>
          <m:t>α</m:t>
        </m:r>
      </m:oMath>
      <w:r>
        <w:t xml:space="preserve"> </w:t>
      </w:r>
      <w:r>
        <w:t xml:space="preserve">and IFN-</w:t>
      </w:r>
      <m:oMath>
        <m:r>
          <m:t>β</m:t>
        </m:r>
      </m:oMath>
      <w:r>
        <w:t xml:space="preserve">) and type II (IFN-</w:t>
      </w:r>
      <m:oMath>
        <m:r>
          <m:t>γ</m:t>
        </m:r>
      </m:oMath>
      <w:r>
        <w:t xml:space="preserve">) interferons as well as tumor necrosis factor (TNF), while activated macrophages secrete interleukin 6 (IL-6), TNF, and nitric oxide (NO), an antiviral agent with immunosuppressive properties. These cytokines may further contribute to apoptosis and necrosis in bystander splenocytes, culminating in IMS</w:t>
      </w:r>
      <w:r>
        <w:t xml:space="preserve"> </w:t>
      </w:r>
      <w:r>
        <w:t xml:space="preserve">(8, 11)</w:t>
      </w:r>
      <w:r>
        <w:t xml:space="preserve"> </w:t>
      </w:r>
      <w:r>
        <w:t xml:space="preserve">(</w:t>
      </w:r>
      <w:r>
        <w:rPr>
          <w:b/>
          <w:bCs/>
        </w:rPr>
        <w:t xml:space="preserve">Figure 1</w:t>
      </w:r>
      <w:r>
        <w:t xml:space="preserve">). However, the precise molecular mechanisms of THEV-induced IMS or the relevant intracellular signaling pathways are poorly understood</w:t>
      </w:r>
      <w:r>
        <w:t xml:space="preserve"> </w:t>
      </w:r>
      <w:r>
        <w:t xml:space="preserve">(6)</w:t>
      </w:r>
      <w:r>
        <w:t xml:space="preserve">. Elucidating the specific mechanisms and pathways of THEV-induced IMS is a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biological sciences</w:t>
      </w:r>
      <w:r>
        <w:t xml:space="preserve"> </w:t>
      </w:r>
      <w:r>
        <w:t xml:space="preserve">(12)</w:t>
      </w:r>
      <w:r>
        <w:t xml:space="preserve">. Bulk mRNA sequencing (RNA-seq), an NGS approach to transcriptomic studies, is a versatile, high throughput, and cost-effective technology that allows a broad scan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w:t>
      </w:r>
      <w:r>
        <w:t xml:space="preserve"> </w:t>
      </w:r>
      <w:r>
        <w:t xml:space="preserve">(12–16)</w:t>
      </w:r>
      <w:r>
        <w:t xml:space="preserve">.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key host genes, cellular/molecular processes and pathways affected during a THEV time course infection. We specifically focus on cellular processes related to cell survivability that can elucidate THEV-induced IMS.</w:t>
      </w:r>
      <w:r>
        <w:t xml:space="preserve"> </w:t>
      </w:r>
    </w:p>
    <w:bookmarkEnd w:id="23"/>
    <w:bookmarkStart w:id="25"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we infected MDTC-RP19 cells with THEV or no virus (mock) in triplicates or duplicates, respectively, and harvested at total RNA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reference genome of</w:t>
      </w:r>
      <w:r>
        <w:t xml:space="preserve"> </w:t>
      </w:r>
      <w:r>
        <w:rPr>
          <w:i/>
          <w:iCs/>
        </w:rPr>
        <w:t xml:space="preserve">M. gallopavo</w:t>
      </w:r>
      <w:r>
        <w:t xml:space="preserve"> </w:t>
      </w:r>
      <w:r>
        <w:t xml:space="preserve">obtained from the National Center for Biotechnology Information (NCBI). The percentage of reads that mapped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We observed that the fraction of reads that mapped to the host genome decreased while those mapping to the virus genome increased over the course of the infection as the viral infectious cycle progressed. Despite excellent quality scores at all time points (</w:t>
      </w:r>
      <w:r>
        <w:rPr>
          <w:b/>
          <w:bCs/>
        </w:rPr>
        <w:t xml:space="preserve">Table 1</w:t>
      </w:r>
      <w:r>
        <w:t xml:space="preserve">), DEGs identified at 4- and 72-hpi did not yield any results in the downstream functional enrichment analyses (GO term and KEGG pathway analysis) and they were excluded from all subsequent analyses. In the remaining 12- and 24-hpi samples, a high consistency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We quantified gene expression levels with the StringTie software</w:t>
      </w:r>
      <w:r>
        <w:t xml:space="preserve"> </w:t>
      </w:r>
      <w:r>
        <w:t xml:space="preserve">(19)</w:t>
      </w:r>
      <w:r>
        <w:t xml:space="preserve"> </w:t>
      </w:r>
      <w:r>
        <w:t xml:space="preserve">in Fragments per kilobase of transcript per million (FPKM) units. The differential expression analysis of DEGs was performed with the DESeq2 R package</w:t>
      </w:r>
      <w:r>
        <w:t xml:space="preserve"> </w:t>
      </w:r>
      <w:r>
        <w:t xml:space="preserve">(20)</w:t>
      </w:r>
      <w:r>
        <w:t xml:space="preserve"> </w:t>
      </w:r>
      <w:r>
        <w:t xml:space="preserve">which employs a negative binomial distribution model for determining statistical significance. Using a false discovery rate (FDR)-adjusted P-value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24">
        <w:r>
          <w:rPr>
            <w:rStyle w:val="Hyperlink"/>
          </w:rPr>
          <w:t xml:space="preserve">http://www.ncbi.nlm.nih.gov/geo</w:t>
        </w:r>
      </w:hyperlink>
      <w:r>
        <w:t xml:space="preserve">) under accession number GSE286211 with files named total_12hrsDEGs.csv.gz and total_24hrsDEGs.csv.gz, respectively. We compared THEV-infected samples relative to their time-matched mock-infected samples in identifying the significant DEGs and in the functional enrichment analyses. At 12-hpi (THEV-infected versus mock-infected), we found</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(THEV-infected versus mock-infected)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 (FC)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the DEGs determined at the 12- and 24-hpi timepoints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outputs results according to the three branches of the GO directed acyclic graph – cellular components (CP), biological processes (BP), and molecular functions (MF). We compared THEV-infected samples relative to their time-matched mock-infected samples for each timepoint.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we observed that the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the GO terms were related to cytoplasmic vacuolation and the lysosome, similar to those identified at 12-hpi. In the MF category, the GO terms grouped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S2</w:t>
      </w:r>
      <w:r>
        <w:t xml:space="preserve">).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at both timepoints.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Downregulation of Cell Maintenance Pathways</w:t>
      </w:r>
      <w:r>
        <w:br/>
      </w:r>
      <w:r>
        <w:t xml:space="preserve">Forcibly transitioning the host cell cycle to the S phase during the early phase of infection is a prerequisite for a productive adenovirus infection</w:t>
      </w:r>
      <w:r>
        <w:t xml:space="preserve"> </w:t>
      </w:r>
      <w:r>
        <w:t xml:space="preserve">(27)</w:t>
      </w:r>
      <w:r>
        <w:t xml:space="preserve">.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(27, 28)</w:t>
      </w:r>
      <w:r>
        <w:t xml:space="preserve">. Our GO and KEGG pathway results showed that at 12-hpi,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the observation in Mastadenoviruses, the cell cycle regulation at 12-hpi seems complicated as some key cell cycle-related genes as well as DNA and RNA synthesis, repair, metabolism, processing, and replication were concurrently downregulated. At 24-hpi, our KEGG pathway and GO analysis show that components of the cell cycle were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(29)</w:t>
      </w:r>
      <w:r>
        <w:t xml:space="preserve">. Repression of host RNA and protein synthesis is also strongly associated with apoptosis</w:t>
      </w:r>
      <w:r>
        <w:t xml:space="preserve"> </w:t>
      </w:r>
      <w:r>
        <w:t xml:space="preserve">(30)</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w:t>
      </w:r>
    </w:p>
    <w:p>
      <w:pPr>
        <w:pStyle w:val="BodyText"/>
      </w:pPr>
      <w:r>
        <w:t xml:space="preserve">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Endoplasmic Reticulum (ER) Stress Response during THEV infection</w:t>
      </w:r>
      <w:r>
        <w:br/>
      </w:r>
      <w:r>
        <w:t xml:space="preserve">Our KEGG pathway analysis (</w:t>
      </w:r>
      <w:r>
        <w:rPr>
          <w:b/>
          <w:bCs/>
        </w:rPr>
        <w:t xml:space="preserve">Table 4A</w:t>
      </w:r>
      <w:r>
        <w:t xml:space="preserve">) showed that protein processing in the ER, and ubiquitin-mediated proteolysis are significantly upregulated (</w:t>
      </w:r>
      <w:r>
        <w:rPr>
          <w:b/>
          <w:bCs/>
        </w:rPr>
        <w:t xml:space="preserve">Figure 5</w:t>
      </w:r>
      <w:r>
        <w:t xml:space="preserve">). The GO results (</w:t>
      </w:r>
      <w:r>
        <w:rPr>
          <w:b/>
          <w:bCs/>
        </w:rPr>
        <w:t xml:space="preserve">Table 3A</w:t>
      </w:r>
      <w:r>
        <w:t xml:space="preserve">)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w:t>
      </w:r>
      <w:r>
        <w:t xml:space="preserve"> </w:t>
      </w:r>
      <w:r>
        <w:t xml:space="preserve">(31)</w:t>
      </w:r>
      <w:r>
        <w:t xml:space="preserve">.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w:t>
      </w:r>
      <w:r>
        <w:t xml:space="preserve"> </w:t>
      </w:r>
      <w:r>
        <w:t xml:space="preserve">(31)</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Other genes related to other UPR pathways such as</w:t>
      </w:r>
      <w:r>
        <w:t xml:space="preserve"> </w:t>
      </w:r>
      <w:r>
        <w:rPr>
          <w:i/>
          <w:iCs/>
        </w:rPr>
        <w:t xml:space="preserve">HSPA5</w:t>
      </w:r>
      <w:r>
        <w:t xml:space="preserve"> </w:t>
      </w:r>
      <w:r>
        <w:t xml:space="preserve">and</w:t>
      </w:r>
      <w:r>
        <w:t xml:space="preserve"> </w:t>
      </w:r>
      <w:r>
        <w:rPr>
          <w:i/>
          <w:iCs/>
        </w:rPr>
        <w:t xml:space="preserve">ATF4</w:t>
      </w:r>
      <w:r>
        <w:t xml:space="preserve"> </w:t>
      </w:r>
      <w:r>
        <w:t xml:space="preserve">were also upregulated. Our KEGG pathway (</w:t>
      </w:r>
      <w:r>
        <w:rPr>
          <w:b/>
          <w:bCs/>
        </w:rPr>
        <w:t xml:space="preserve">Table S2</w:t>
      </w:r>
      <w:r>
        <w:t xml:space="preserve">) and GO (</w:t>
      </w:r>
      <w:r>
        <w:rPr>
          <w:b/>
          <w:bCs/>
        </w:rPr>
        <w:t xml:space="preserve">Figure 4B</w:t>
      </w:r>
      <w:r>
        <w:t xml:space="preserve">) results indicated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the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at 24-hpi.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w:t>
      </w:r>
      <w:r>
        <w:t xml:space="preserve"> </w:t>
      </w:r>
      <w:r>
        <w:rPr>
          <w:i/>
          <w:iCs/>
        </w:rPr>
        <w:t xml:space="preserve">IL18, IL2RB, IL4R, IL5RA</w:t>
      </w:r>
      <w:r>
        <w:t xml:space="preserve">,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THEV immunopathogenesis (</w:t>
      </w:r>
      <w:r>
        <w:rPr>
          <w:b/>
          <w:bCs/>
        </w:rPr>
        <w:t xml:space="preserve">Figure 1</w:t>
      </w:r>
      <w:r>
        <w:t xml:space="preserve">), the cytokines in the model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some of the differentially expressed cytokines and cytokine receptors (</w:t>
      </w:r>
      <w:r>
        <w:rPr>
          <w:i/>
          <w:iCs/>
        </w:rPr>
        <w:t xml:space="preserve">TNFRSF8, TRAF7</w:t>
      </w:r>
      <w:r>
        <w:t xml:space="preserve">) identified in this study are positive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6</w:t>
      </w:r>
      <w:r>
        <w:t xml:space="preserve">, the RT-qPCR results corroborate the RNA-seq results, further reinforcing the validity of the RNA-seq transcriptomic profile results. Our RT-qPCR primers showed excellent target specificity; only one amplicon of the expected size was amplified as shown by the melt curves (data not shown) and gel electrophoresis (</w:t>
      </w:r>
      <w:r>
        <w:rPr>
          <w:b/>
          <w:bCs/>
        </w:rPr>
        <w:t xml:space="preserve">Figure S1</w:t>
      </w:r>
      <w:r>
        <w:t xml:space="preserve">). According to our Student’s T-test and Mann-Whitney U test, the difference in gene expression levels in all the selected genes were statistically significant.</w:t>
      </w:r>
      <w:r>
        <w:t xml:space="preserve"> </w:t>
      </w:r>
    </w:p>
    <w:bookmarkEnd w:id="25"/>
    <w:bookmarkStart w:id="26" w:name="discussion"/>
    <w:p>
      <w:pPr>
        <w:pStyle w:val="Heading2"/>
      </w:pPr>
      <w:r>
        <w:t xml:space="preserve">DISCUSSION</w:t>
      </w:r>
    </w:p>
    <w:p>
      <w:pPr>
        <w:pStyle w:val="FirstParagraph"/>
      </w:pPr>
      <w:r>
        <w:t xml:space="preserve">THEV has a worldwide distribution, wreaking economic havoc on affected poultry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and pheasants</w:t>
      </w:r>
      <w:r>
        <w:t xml:space="preserve"> </w:t>
      </w:r>
      <w:r>
        <w:t xml:space="preserve">(4)</w:t>
      </w:r>
      <w:r>
        <w:t xml:space="preserve">.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pPr>
        <w:pStyle w:val="BodyText"/>
      </w:pPr>
      <w:r>
        <w:t xml:space="preserve">Only one cell line (MDTC-RP19 or RP19) has ever been found to be capable of supporting THEV infection and replication</w:t>
      </w:r>
      <w:r>
        <w:t xml:space="preserve"> </w:t>
      </w:r>
      <w:r>
        <w:t xml:space="preserve">(32)</w:t>
      </w:r>
      <w:r>
        <w:t xml:space="preserve">. Thus, in this work, we establish the first transcriptome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(33)</w:t>
      </w:r>
      <w:r>
        <w:t xml:space="preserve">, leading to only 12- and 24-hpi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pPr>
        <w:pStyle w:val="BodyText"/>
      </w:pPr>
      <w:r>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tackle</w:t>
      </w:r>
      <w:r>
        <w:t xml:space="preserve"> </w:t>
      </w:r>
      <w:r>
        <w:t xml:space="preserve">(24–26)</w:t>
      </w:r>
      <w:r>
        <w:t xml:space="preserve">. The adenovirus E1A proteins are strong inducers of apoptosis. They bind host pRb and p300/CBP protein, inducing p53-mediated apoptosis, and can also sensitize infected cells to TNF</w:t>
      </w:r>
      <m:oMath>
        <m:r>
          <m:t>α</m:t>
        </m:r>
      </m:oMath>
      <w:r>
        <w:t xml:space="preserve"> </w:t>
      </w:r>
      <w:r>
        <w:t xml:space="preserve">and TRAIL-induced apoptosis</w:t>
      </w:r>
      <w:r>
        <w:t xml:space="preserve"> </w:t>
      </w:r>
      <w:r>
        <w:t xml:space="preserve">(27, 28)</w:t>
      </w:r>
      <w:r>
        <w:t xml:space="preserve">.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w:t>
      </w:r>
      <w:r>
        <w:t xml:space="preserve"> </w:t>
      </w:r>
      <w:r>
        <w:t xml:space="preserve">(27, 28)</w:t>
      </w:r>
      <w:r>
        <w:t xml:space="preserve">.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w:t>
      </w:r>
      <w:r>
        <w:t xml:space="preserve"> </w:t>
      </w:r>
      <w:r>
        <w:t xml:space="preserve">(27)</w:t>
      </w:r>
      <w:r>
        <w:t xml:space="preserve">. Siadenoviruses including THEV are the smallest adenoviruses and therefore encode the fewest genes</w:t>
      </w:r>
      <w:r>
        <w:t xml:space="preserve"> </w:t>
      </w:r>
      <w:r>
        <w:t xml:space="preserve">(10, 34)</w:t>
      </w:r>
      <w:r>
        <w:t xml:space="preserve">. THEV encodes a mere 34 ORFs with no anti-apoptotic genes characterized</w:t>
      </w:r>
      <w:r>
        <w:t xml:space="preserve"> </w:t>
      </w:r>
      <w:r>
        <w:t xml:space="preserve">(34)</w:t>
      </w:r>
      <w:r>
        <w:t xml:space="preserve">. In agreement with these findings, in our results a strong signal indicative of apoptosis was observed. However, like mastadenovirus infections, a complex relationship between pro and anti-apoptotic genes were observed. Pro-apoptotic genes such as</w:t>
      </w:r>
      <w:r>
        <w:t xml:space="preserve"> </w:t>
      </w:r>
      <w:r>
        <w:rPr>
          <w:i/>
          <w:iCs/>
        </w:rPr>
        <w:t xml:space="preserve">APAF1, BNIP3L, BMF, BAK1, RIPK1, FAS, FADD</w:t>
      </w:r>
      <w:r>
        <w:t xml:space="preserve"> </w:t>
      </w:r>
      <w:r>
        <w:t xml:space="preserve">and</w:t>
      </w:r>
      <w:r>
        <w:t xml:space="preserve"> </w:t>
      </w:r>
      <w:r>
        <w:rPr>
          <w:i/>
          <w:iCs/>
        </w:rPr>
        <w:t xml:space="preserve">ATF</w:t>
      </w:r>
      <w:r>
        <w:t xml:space="preserve"> </w:t>
      </w:r>
      <w:r>
        <w:t xml:space="preserve">were upregulated in concert with the anti-apoptotic genes:</w:t>
      </w:r>
      <w:r>
        <w:t xml:space="preserve"> </w:t>
      </w:r>
      <w:r>
        <w:rPr>
          <w:i/>
          <w:iCs/>
        </w:rPr>
        <w:t xml:space="preserve">BCL2, BNIP2, BCL2A1</w:t>
      </w:r>
      <w:r>
        <w:t xml:space="preserve"> </w:t>
      </w:r>
      <w:r>
        <w:t xml:space="preserve">and</w:t>
      </w:r>
      <w:r>
        <w:t xml:space="preserve"> </w:t>
      </w:r>
      <w:r>
        <w:rPr>
          <w:i/>
          <w:iCs/>
        </w:rPr>
        <w:t xml:space="preserve">API5</w:t>
      </w:r>
      <w:r>
        <w:t xml:space="preserve">. We speculate that this complex regulation is predictive of THEV possessing some anti-apoptotic genes but not sufficiently potent to thwart the cellular apoptotic response. Interestingly, both intrinsic and extrinsic pathway pro-apoptotic genes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 tremendously.</w:t>
      </w:r>
    </w:p>
    <w:p>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correctly folded exported proteins and degradation of unfolded or misfolded proteins</w:t>
      </w:r>
      <w:r>
        <w:t xml:space="preserve"> </w:t>
      </w:r>
      <w:r>
        <w:t xml:space="preserve">(16, 31, 35)</w:t>
      </w:r>
      <w:r>
        <w:t xml:space="preserve">.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w:t>
      </w:r>
      <w:r>
        <w:t xml:space="preserve"> </w:t>
      </w:r>
      <w:r>
        <w:t xml:space="preserve">(16, 31, 35, 36)</w:t>
      </w:r>
      <w:r>
        <w:t xml:space="preserve">. However, if incorrect lumenal protein overload persists, the prolonged UPR will induce apoptosis known as ER stress-associated programmed cell death</w:t>
      </w:r>
      <w:r>
        <w:t xml:space="preserve"> </w:t>
      </w:r>
      <w:r>
        <w:t xml:space="preserve">(35, 36)</w:t>
      </w:r>
      <w:r>
        <w:t xml:space="preserve">. Many viruses, including DNA and RNA viruses are reported to induce ER stress and UPR pathways during infection</w:t>
      </w:r>
      <w:r>
        <w:t xml:space="preserve"> </w:t>
      </w:r>
      <w:r>
        <w:t xml:space="preserve">(16)</w:t>
      </w:r>
      <w:r>
        <w:t xml:space="preserve">. In our results,</w:t>
      </w:r>
      <w:r>
        <w:t xml:space="preserve"> </w:t>
      </w:r>
      <w:r>
        <w:rPr>
          <w:i/>
          <w:iCs/>
        </w:rPr>
        <w:t xml:space="preserve">ATF4</w:t>
      </w:r>
      <w:r>
        <w:t xml:space="preserve"> </w:t>
      </w:r>
      <w:r>
        <w:t xml:space="preserve">and PKR-like ER protein kinase (</w:t>
      </w:r>
      <w:r>
        <w:rPr>
          <w:i/>
          <w:iCs/>
        </w:rPr>
        <w:t xml:space="preserve">PERK</w:t>
      </w:r>
      <w:r>
        <w:t xml:space="preserve">), key proteins in the</w:t>
      </w:r>
      <w:r>
        <w:t xml:space="preserve"> </w:t>
      </w:r>
      <w:r>
        <w:rPr>
          <w:i/>
          <w:iCs/>
        </w:rPr>
        <w:t xml:space="preserve">PERK</w:t>
      </w:r>
      <w:r>
        <w:t xml:space="preserve"> </w:t>
      </w:r>
      <w:r>
        <w:t xml:space="preserve">branch of the UPR pathway were upregulated. A myriad ERAD pathway proteins (e.g.,</w:t>
      </w:r>
      <w:r>
        <w:t xml:space="preserve"> </w:t>
      </w:r>
      <w:r>
        <w:rPr>
          <w:i/>
          <w:iCs/>
        </w:rPr>
        <w:t xml:space="preserve">VCP, UFD1, EDEM1, EDEM3, CUL1, UBQLN1</w:t>
      </w:r>
      <w:r>
        <w:t xml:space="preserve">), ubiquitination system proteins (e.g.,</w:t>
      </w:r>
      <w:r>
        <w:t xml:space="preserve"> </w:t>
      </w:r>
      <w:r>
        <w:rPr>
          <w:i/>
          <w:iCs/>
        </w:rPr>
        <w:t xml:space="preserve">UBE2J2, UBE2E3, UBE2Z, UBE3A, UBE3B</w:t>
      </w:r>
      <w:r>
        <w:t xml:space="preserve">), and heat shock family of chaperone proteins (e.g.,</w:t>
      </w:r>
      <w:r>
        <w:t xml:space="preserve"> </w:t>
      </w:r>
      <w:r>
        <w:rPr>
          <w:i/>
          <w:iCs/>
        </w:rPr>
        <w:t xml:space="preserve">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seen in our results. As noted above, a prolonged UPR activation leads to ER stress-associated programmed cell death via genes such</w:t>
      </w:r>
      <w:r>
        <w:t xml:space="preserve"> </w:t>
      </w:r>
      <w:r>
        <w:rPr>
          <w:i/>
          <w:iCs/>
        </w:rPr>
        <w:t xml:space="preserve">ATF4</w:t>
      </w:r>
      <w:r>
        <w:t xml:space="preserve"> </w:t>
      </w:r>
      <w:r>
        <w:t xml:space="preserve">(35, 36)</w:t>
      </w:r>
      <w:r>
        <w:t xml:space="preserve">. Thus, we suggest that ER stress response likely plays a crucial role in the THEV-induced IMS. Nonetheless, the mechanisms underlying the regulation of the UPR pathways by THEV remain to be clearly unraveled. Also, whether and how ER stress response affects THEV infection and pathogenicity are also merited to be determined in a future study. Unsurprisingly, protein degradation was more pronounced at the 24-hpi than at 12-hpi, reflecting the suggested two phases of UPR – phase one allows the unfolded proteins time to refold without degradation and phase two degrades any proteins which have failed to fold</w:t>
      </w:r>
      <w:r>
        <w:t xml:space="preserve"> </w:t>
      </w:r>
      <w:r>
        <w:t xml:space="preserve">(36)</w:t>
      </w:r>
      <w:r>
        <w:t xml:space="preserve">.</w:t>
      </w:r>
    </w:p>
    <w:p>
      <w:pPr>
        <w:pStyle w:val="BodyText"/>
      </w:pPr>
      <w:r>
        <w:t xml:space="preserve">In the proposed model of THEV immunopathogenesis by Rautenschlein</w:t>
      </w:r>
      <w:r>
        <w:t xml:space="preserve"> </w:t>
      </w:r>
      <w:r>
        <w:rPr>
          <w:i/>
          <w:iCs/>
        </w:rPr>
        <w:t xml:space="preserve">et al</w:t>
      </w:r>
      <w:r>
        <w:t xml:space="preserve"> </w:t>
      </w:r>
      <w:r>
        <w:t xml:space="preserve">(</w:t>
      </w:r>
      <w:r>
        <w:rPr>
          <w:b/>
          <w:bCs/>
        </w:rPr>
        <w:t xml:space="preserve">Figure 1</w:t>
      </w:r>
      <w:r>
        <w:t xml:space="preserve">), while THEV directly induced cell death in infected cells, cytokines are responsible for extending cell death to bystander splenocytes</w:t>
      </w:r>
      <w:r>
        <w:t xml:space="preserve"> </w:t>
      </w:r>
      <w:r>
        <w:t xml:space="preserve">(8)</w:t>
      </w:r>
      <w:r>
        <w:t xml:space="preserve">. However, the primary cytokines (IFN-</w:t>
      </w:r>
      <m:oMath>
        <m:r>
          <m:t>α</m:t>
        </m:r>
      </m:oMath>
      <w:r>
        <w:t xml:space="preserve">, IFN-</w:t>
      </w:r>
      <m:oMath>
        <m:r>
          <m:t>β</m:t>
        </m:r>
      </m:oMath>
      <w:r>
        <w:t xml:space="preserve">, IFN-</w:t>
      </w:r>
      <m:oMath>
        <m:r>
          <m:t>γ</m:t>
        </m:r>
      </m:oMath>
      <w:r>
        <w:t xml:space="preserve"> </w:t>
      </w:r>
      <w:r>
        <w:t xml:space="preserve">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w:t>
      </w:r>
      <w:r>
        <w:t xml:space="preserve"> </w:t>
      </w:r>
      <w:r>
        <w:t xml:space="preserve">(8)</w:t>
      </w:r>
      <w:r>
        <w:t xml:space="preserve">. While some of the upregulated cytokines and receptors in our results are positive apoptosis regulators (</w:t>
      </w:r>
      <w:r>
        <w:rPr>
          <w:i/>
          <w:iCs/>
        </w:rPr>
        <w:t xml:space="preserve">TNFRSF8, TRAF7</w:t>
      </w:r>
      <w:r>
        <w:t xml:space="preserve">), most of the cytokines are either anti-apoptotic (</w:t>
      </w:r>
      <w:r>
        <w:rPr>
          <w:i/>
          <w:iCs/>
        </w:rPr>
        <w:t xml:space="preserve">TNFRSF1B, TRAF2</w:t>
      </w:r>
      <w:r>
        <w:t xml:space="preserve">), boost host antiviral defense (</w:t>
      </w:r>
      <w:r>
        <w:rPr>
          <w:i/>
          <w:iCs/>
        </w:rPr>
        <w:t xml:space="preserve">IL18, TNFSF4, PKR, TRAFD1, IFIH1</w:t>
      </w:r>
      <w:r>
        <w:t xml:space="preserve">), or suppress cytokine signaling (</w:t>
      </w:r>
      <w:r>
        <w:rPr>
          <w:i/>
          <w:iCs/>
        </w:rPr>
        <w:t xml:space="preserve">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w:t>
      </w:r>
      <w:r>
        <w:t xml:space="preserve"> </w:t>
      </w:r>
      <w:r>
        <w:rPr>
          <w:i/>
          <w:iCs/>
        </w:rPr>
        <w:t xml:space="preserve">et al</w:t>
      </w:r>
      <w:r>
        <w:t xml:space="preserve"> </w:t>
      </w:r>
      <w:r>
        <w:t xml:space="preserve">are important questions that can be addressed with future transcriptomic studies in splenocytes.</w:t>
      </w:r>
    </w:p>
    <w:p>
      <w:pPr>
        <w:pStyle w:val="BodyText"/>
      </w:pPr>
      <w:r>
        <w:t xml:space="preserve">By convention, the Mastadenovirus replication cycle is divided into two phases, an early and a late phase, based on the onset of viral DNA replication</w:t>
      </w:r>
      <w:r>
        <w:t xml:space="preserve"> </w:t>
      </w:r>
      <w:r>
        <w:t xml:space="preserve">(27, 28)</w:t>
      </w:r>
      <w:r>
        <w:t xml:space="preserve">. Based on DNA microarray analysis, adenovirus type 2 (Ad2) infection has been divided into four stages. The first period is from 0 to 12-hpi during which, changes in cellular gene expression are likely to be triggered by the virus entry process. Most of the deregulated genes have functions linked to inhibition of cell growth. Therefore, growth suppression is most likely the first response of the host cell to the incoming virus</w:t>
      </w:r>
      <w:r>
        <w:t xml:space="preserve"> </w:t>
      </w:r>
      <w:r>
        <w:t xml:space="preserve">(27)</w:t>
      </w:r>
      <w:r>
        <w:t xml:space="preserve">. The second period covers the time from 12 to 24-hpi and follows activation of the immediate early E1A gene, which forcibly transition cell cycle to S phase</w:t>
      </w:r>
      <w:r>
        <w:t xml:space="preserve"> </w:t>
      </w:r>
      <w:r>
        <w:t xml:space="preserve">(27)</w:t>
      </w:r>
      <w:r>
        <w:t xml:space="preserve">. While the temporal changes of host gene expression for a THEV infection have not been characterized in prior studies, our data showed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nucleotide biosynthesis and metabolism, double strand break repair, and DNA excision repair were also repressed. As severe DNA damage leads to DNA damage-dependent apoptosis</w:t>
      </w:r>
      <w:r>
        <w:t xml:space="preserve"> </w:t>
      </w:r>
      <w:r>
        <w:t xml:space="preserve">(29)</w:t>
      </w:r>
      <w:r>
        <w:t xml:space="preserve"> </w:t>
      </w:r>
      <w:r>
        <w:t xml:space="preserve">and repression of RNA and protein synthesis is also strongly associated with apoptosis</w:t>
      </w:r>
      <w:r>
        <w:t xml:space="preserve"> </w:t>
      </w:r>
      <w:r>
        <w:t xml:space="preserve">(30)</w:t>
      </w:r>
      <w:r>
        <w:t xml:space="preserve">,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r>
        <w:t xml:space="preserve"> </w:t>
      </w:r>
    </w:p>
    <w:bookmarkEnd w:id="26"/>
    <w:bookmarkStart w:id="27" w:name="conclusions"/>
    <w:p>
      <w:pPr>
        <w:pStyle w:val="Heading2"/>
      </w:pPr>
      <w:r>
        <w:t xml:space="preserve">CONCLUSIONS</w:t>
      </w:r>
    </w:p>
    <w:p>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at 12-hpi and</w:t>
      </w:r>
      <w:r>
        <w:t xml:space="preserve"> </w:t>
      </w:r>
      <w:r>
        <w:rPr>
          <w:b/>
          <w:bCs/>
        </w:rPr>
        <w:t xml:space="preserve">1,512</w:t>
      </w:r>
      <w:r>
        <w:t xml:space="preserve"> </w:t>
      </w:r>
      <w:r>
        <w:t xml:space="preserve">upregulated genes and</w:t>
      </w:r>
      <w:r>
        <w:t xml:space="preserve"> </w:t>
      </w:r>
      <w:r>
        <w:rPr>
          <w:b/>
          <w:bCs/>
        </w:rPr>
        <w:t xml:space="preserve">1,783</w:t>
      </w:r>
      <w:r>
        <w:t xml:space="preserve">downregulated genes at 24-hpi. Our data suggest that several biological processes and pathways including apoptosis, immune response, ER response to stress, ubiquitin-dependent protein catabolic process,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w:t>
      </w:r>
      <w:r>
        <w:t xml:space="preserve"> </w:t>
      </w:r>
      <w:r>
        <w:t xml:space="preserve">the understanding of non-human adenoviral infection and pathogenesis, which may eventually inform the development of medical countermeasures for disease prevention and treatment.</w:t>
      </w:r>
      <w:r>
        <w:t xml:space="preserve"> </w:t>
      </w:r>
    </w:p>
    <w:bookmarkEnd w:id="27"/>
    <w:bookmarkStart w:id="36" w:name="materials-and-methods"/>
    <w:p>
      <w:pPr>
        <w:pStyle w:val="Heading2"/>
      </w:pPr>
      <w:r>
        <w:t xml:space="preserve">MATERIALS AND METHODS</w:t>
      </w:r>
    </w:p>
    <w:bookmarkStart w:id="28"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(37)</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8"/>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150-bp reads was performed on the Illumina NovaSeq 6000 sequencing system. The paired-end 150bp sequences obtained during this study and all expression data have been submitted to the Gene Expression Omnibus database, under accession no GSE286211</w:t>
      </w:r>
    </w:p>
    <w:bookmarkEnd w:id="29"/>
    <w:bookmarkStart w:id="31"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(38)</w:t>
      </w:r>
      <w:r>
        <w:t xml:space="preserve">, a popular workflow management system to drive the pipeline. Briefly, raw sequencing reads were trimmed with Cutadapt - version 1.10</w:t>
      </w:r>
      <w:r>
        <w:t xml:space="preserve"> </w:t>
      </w:r>
      <w:r>
        <w:t xml:space="preserve">(39)</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(genome build: melGal5) (</w:t>
      </w:r>
      <w:hyperlink r:id="rId30">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1.21 was used to convert the output Sequence Alignment Map (SAM) file to the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1"/>
    <w:bookmarkStart w:id="32"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determining statistical significance when comparing read counts from multiple replicates. Genes with (FDR)-adjusted P-value</w:t>
      </w:r>
      <w:r>
        <w:t xml:space="preserve"> </w:t>
      </w:r>
      <m:oMath>
        <m:r>
          <m:rPr>
            <m:sty m:val="p"/>
          </m:rPr>
          <m:t>≤</m:t>
        </m:r>
      </m:oMath>
      <w:r>
        <w:t xml:space="preserve"> </w:t>
      </w:r>
      <w:r>
        <w:t xml:space="preserve">0.05 were considered as differentially expressed. The sequencing data (FASTQ files), expression-count matrix, and DEG analysis results from DESeq2 are deposited at NCBI Gene Expression Omnibus under accession number GSE286211.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(40–42)</w:t>
      </w:r>
      <w:r>
        <w:t xml:space="preserve">.</w:t>
      </w:r>
    </w:p>
    <w:bookmarkEnd w:id="32"/>
    <w:bookmarkStart w:id="34"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cells were infected and RNA extracted as described for the RNA sequencing samples with three biological replicates at 12- and 24-hpi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remained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3">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(43)</w:t>
      </w:r>
      <w:r>
        <w:t xml:space="preserve">.</w:t>
      </w:r>
    </w:p>
    <w:bookmarkEnd w:id="34"/>
    <w:bookmarkStart w:id="35"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p-value</w:t>
      </w:r>
      <w:r>
        <w:t xml:space="preserve"> </w:t>
      </w:r>
      <m:oMath>
        <m:r>
          <m:rPr>
            <m:sty m:val="p"/>
          </m:rPr>
          <m:t>≤</m:t>
        </m:r>
      </m:oMath>
      <w:r>
        <w:t xml:space="preserve"> </w:t>
      </w:r>
      <w:r>
        <w:t xml:space="preserve">0.05 was considered statistically significant.</w:t>
      </w:r>
      <w:r>
        <w:t xml:space="preserve"> </w:t>
      </w:r>
    </w:p>
    <w:bookmarkEnd w:id="35"/>
    <w:bookmarkEnd w:id="36"/>
    <w:bookmarkStart w:id="37" w:name="list-of-abbreviations"/>
    <w:p>
      <w:pPr>
        <w:pStyle w:val="Heading2"/>
      </w:pPr>
      <w:r>
        <w:t xml:space="preserve">LIST OF ABBREVIATIONS</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Reticulum-associated Degradation</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Next Generation Sequencing</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UPR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Unfolded Protein Response</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bookmarkEnd w:id="37"/>
    <w:bookmarkStart w:id="38" w:name="data-availability"/>
    <w:p>
      <w:pPr>
        <w:pStyle w:val="Heading2"/>
      </w:pPr>
      <w:r>
        <w:t xml:space="preserve">DATA AVAILABILITY</w:t>
      </w:r>
    </w:p>
    <w:p>
      <w:pPr>
        <w:pStyle w:val="FirstParagraph"/>
      </w:pPr>
      <w:r>
        <w:t xml:space="preserve">The raw sequencing read data (FastQ), gene expression counts, and total DEGs identified at 12- and 24-hpi have been deposited at the NCBI Gene Expression Omnibus (</w:t>
      </w:r>
      <w:hyperlink r:id="rId24">
        <w:r>
          <w:rPr>
            <w:rStyle w:val="Hyperlink"/>
          </w:rPr>
          <w:t xml:space="preserve">http://www.ncbi.nlm.nih.gov/geo</w:t>
        </w:r>
      </w:hyperlink>
      <w:r>
        <w:t xml:space="preserve">) under accession number GSE286211.</w:t>
      </w:r>
    </w:p>
    <w:bookmarkEnd w:id="38"/>
    <w:bookmarkStart w:id="40" w:name="code-availability"/>
    <w:p>
      <w:pPr>
        <w:pStyle w:val="Heading2"/>
      </w:pPr>
      <w:r>
        <w:t xml:space="preserve">CODE AVAILABILITY</w:t>
      </w:r>
    </w:p>
    <w:p>
      <w:pPr>
        <w:pStyle w:val="FirstParagraph"/>
      </w:pPr>
      <w:r>
        <w:t xml:space="preserve">All the code/scripts in the entire analysis pipeline are available on GitHub (</w:t>
      </w:r>
      <w:hyperlink r:id="rId39">
        <w:r>
          <w:rPr>
            <w:rStyle w:val="Hyperlink"/>
          </w:rPr>
          <w:t xml:space="preserve">https://github.com/Abraham-Quaye/host_rna_seq</w:t>
        </w:r>
      </w:hyperlink>
      <w:r>
        <w:t xml:space="preserve">)</w:t>
      </w:r>
    </w:p>
    <w:bookmarkEnd w:id="40"/>
    <w:bookmarkStart w:id="41"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41"/>
    <w:bookmarkStart w:id="125" w:name="references"/>
    <w:p>
      <w:pPr>
        <w:pStyle w:val="Heading2"/>
      </w:pPr>
      <w:r>
        <w:t xml:space="preserve">REFERENCES</w:t>
      </w:r>
    </w:p>
    <w:p>
      <w:pPr>
        <w:pStyle w:val="FirstParagraph"/>
      </w:pPr>
    </w:p>
    <w:bookmarkStart w:id="124" w:name="refs"/>
    <w:bookmarkStart w:id="43" w:name="ref-Harrach2008"/>
    <w:p>
      <w:pPr>
        <w:pStyle w:val="Bibliography"/>
      </w:pPr>
      <w:r>
        <w:t xml:space="preserve">1.</w:t>
      </w:r>
      <w:r>
        <w:t xml:space="preserve"> </w:t>
      </w:r>
      <w:r>
        <w:t xml:space="preserve">	</w:t>
      </w:r>
      <w:r>
        <w:t xml:space="preserve">Harrach B. 2008.</w:t>
      </w:r>
      <w:r>
        <w:t xml:space="preserve"> </w:t>
      </w:r>
      <w:hyperlink r:id="rId4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3"/>
    <w:bookmarkStart w:id="45" w:name="ref-Davison2003"/>
    <w:p>
      <w:pPr>
        <w:pStyle w:val="Bibliography"/>
      </w:pPr>
      <w:r>
        <w:t xml:space="preserve">2.</w:t>
      </w:r>
      <w:r>
        <w:t xml:space="preserve"> </w:t>
      </w:r>
      <w:r>
        <w:t xml:space="preserve">	</w:t>
      </w:r>
      <w:r>
        <w:t xml:space="preserve">Davison A, Benko M, Harrach B. 2003.</w:t>
      </w:r>
      <w:r>
        <w:t xml:space="preserve"> </w:t>
      </w:r>
      <w:hyperlink r:id="rId44">
        <w:r>
          <w:rPr>
            <w:rStyle w:val="Hyperlink"/>
          </w:rPr>
          <w:t xml:space="preserve">Genetic content and evolution of adenoviruses</w:t>
        </w:r>
      </w:hyperlink>
      <w:r>
        <w:t xml:space="preserve">. The Journal of general virology 84:2895–908.</w:t>
      </w:r>
    </w:p>
    <w:bookmarkEnd w:id="45"/>
    <w:bookmarkStart w:id="46" w:name="ref-Gross1967"/>
    <w:p>
      <w:pPr>
        <w:pStyle w:val="Bibliography"/>
      </w:pPr>
      <w:r>
        <w:t xml:space="preserve">3.</w:t>
      </w:r>
      <w:r>
        <w:t xml:space="preserve"> </w:t>
      </w:r>
      <w:r>
        <w:t xml:space="preserve">	</w:t>
      </w:r>
      <w:r>
        <w:t xml:space="preserve">Gross WB, Moore WE. 1967. Hemorrhagic enteritis of turkeys. Avian Dis 11:296–307.</w:t>
      </w:r>
    </w:p>
    <w:bookmarkEnd w:id="46"/>
    <w:bookmarkStart w:id="48" w:name="ref-Beach2006"/>
    <w:p>
      <w:pPr>
        <w:pStyle w:val="Bibliography"/>
      </w:pPr>
      <w:r>
        <w:t xml:space="preserve">4.</w:t>
      </w:r>
      <w:r>
        <w:t xml:space="preserve"> </w:t>
      </w:r>
      <w:r>
        <w:t xml:space="preserve">	</w:t>
      </w:r>
      <w:r>
        <w:t xml:space="preserve">Beach NM. 2006.</w:t>
      </w:r>
      <w:r>
        <w:t xml:space="preserve"> </w:t>
      </w:r>
      <w:hyperlink r:id="rId4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8"/>
    <w:bookmarkStart w:id="5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9">
        <w:r>
          <w:rPr>
            <w:rStyle w:val="Hyperlink"/>
          </w:rPr>
          <w:t xml:space="preserve">Haemorrhagic enteritis of turkeys – current knowledge</w:t>
        </w:r>
      </w:hyperlink>
      <w:r>
        <w:t xml:space="preserve">. Veterinary Quarterly 37:31–42.</w:t>
      </w:r>
    </w:p>
    <w:bookmarkEnd w:id="50"/>
    <w:bookmarkStart w:id="5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5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2"/>
    <w:bookmarkStart w:id="5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3"/>
    <w:bookmarkStart w:id="55" w:name="ref-Rautenschlein2000"/>
    <w:p>
      <w:pPr>
        <w:pStyle w:val="Bibliography"/>
      </w:pPr>
      <w:r>
        <w:t xml:space="preserve">8.</w:t>
      </w:r>
      <w:r>
        <w:t xml:space="preserve"> </w:t>
      </w:r>
      <w:r>
        <w:t xml:space="preserve">	</w:t>
      </w:r>
      <w:r>
        <w:t xml:space="preserve">Rautenschlein S, Sharma JM. 2000.</w:t>
      </w:r>
      <w:r>
        <w:t xml:space="preserve"> </w:t>
      </w:r>
      <w:hyperlink r:id="rId54">
        <w:r>
          <w:rPr>
            <w:rStyle w:val="Hyperlink"/>
          </w:rPr>
          <w:t xml:space="preserve">Immunopathogenesis of haemorrhagic enteritis virus (HEV) in turkeys</w:t>
        </w:r>
      </w:hyperlink>
      <w:r>
        <w:t xml:space="preserve">. Dev Comp Immunol 24:237–46.</w:t>
      </w:r>
    </w:p>
    <w:bookmarkEnd w:id="55"/>
    <w:bookmarkStart w:id="5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6"/>
    <w:bookmarkStart w:id="5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7">
        <w:r>
          <w:rPr>
            <w:rStyle w:val="Hyperlink"/>
          </w:rPr>
          <w:t xml:space="preserve">Persistent infection of turkeys with an avirulent strain of turkey hemorrhagic enteritis virus</w:t>
        </w:r>
      </w:hyperlink>
      <w:r>
        <w:t xml:space="preserve">. Avian Diseases 53:370–375.</w:t>
      </w:r>
    </w:p>
    <w:bookmarkEnd w:id="58"/>
    <w:bookmarkStart w:id="60" w:name="ref-Rautenschlein2000b"/>
    <w:p>
      <w:pPr>
        <w:pStyle w:val="Bibliography"/>
      </w:pPr>
      <w:r>
        <w:t xml:space="preserve">11.</w:t>
      </w:r>
      <w:r>
        <w:t xml:space="preserve"> </w:t>
      </w:r>
      <w:r>
        <w:t xml:space="preserve">	</w:t>
      </w:r>
      <w:r>
        <w:t xml:space="preserve">Rautenschlein S, Suresh M, Sharma JM. 2000.</w:t>
      </w:r>
      <w:r>
        <w:t xml:space="preserve"> </w:t>
      </w:r>
      <w:hyperlink r:id="rId59">
        <w:r>
          <w:rPr>
            <w:rStyle w:val="Hyperlink"/>
          </w:rPr>
          <w:t xml:space="preserve">Pathogenic avian adenovirus type II induces apoptosis in turkey spleen cells</w:t>
        </w:r>
      </w:hyperlink>
      <w:r>
        <w:t xml:space="preserve">. Archives of Virology 145:1671–1683.</w:t>
      </w:r>
    </w:p>
    <w:bookmarkEnd w:id="60"/>
    <w:bookmarkStart w:id="6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61">
        <w:r>
          <w:rPr>
            <w:rStyle w:val="Hyperlink"/>
          </w:rPr>
          <w:t xml:space="preserve">Next-generation sequencing technology: Current trends and advancements</w:t>
        </w:r>
      </w:hyperlink>
      <w:r>
        <w:t xml:space="preserve">. Biology 12:997.</w:t>
      </w:r>
    </w:p>
    <w:bookmarkEnd w:id="62"/>
    <w:bookmarkStart w:id="64" w:name="ref-Pandey2023"/>
    <w:p>
      <w:pPr>
        <w:pStyle w:val="Bibliography"/>
      </w:pPr>
      <w:r>
        <w:t xml:space="preserve">13.</w:t>
      </w:r>
      <w:r>
        <w:t xml:space="preserve"> </w:t>
      </w:r>
      <w:r>
        <w:t xml:space="preserve">	</w:t>
      </w:r>
      <w:r>
        <w:t xml:space="preserve">Pandey D, Onkara Perumal P. 2023.</w:t>
      </w:r>
      <w:r>
        <w:t xml:space="preserve"> </w:t>
      </w:r>
      <w:hyperlink r:id="rId63">
        <w:r>
          <w:rPr>
            <w:rStyle w:val="Hyperlink"/>
          </w:rPr>
          <w:t xml:space="preserve">A scoping review on deep learning for next-generation RNA-seq. Data analysis</w:t>
        </w:r>
      </w:hyperlink>
      <w:r>
        <w:t xml:space="preserve">. Functional &amp;amp; Integrative Genomics 23.</w:t>
      </w:r>
    </w:p>
    <w:bookmarkEnd w:id="64"/>
    <w:bookmarkStart w:id="66" w:name="ref-Wang2019"/>
    <w:p>
      <w:pPr>
        <w:pStyle w:val="Bibliography"/>
      </w:pPr>
      <w:r>
        <w:t xml:space="preserve">14.</w:t>
      </w:r>
      <w:r>
        <w:t xml:space="preserve"> </w:t>
      </w:r>
      <w:r>
        <w:t xml:space="preserve">	</w:t>
      </w:r>
      <w:r>
        <w:t xml:space="preserve">Wang B, Kumar V, Olson A, Ware D. 2019.</w:t>
      </w:r>
      <w:r>
        <w:t xml:space="preserve"> </w:t>
      </w:r>
      <w:hyperlink r:id="rId65">
        <w:r>
          <w:rPr>
            <w:rStyle w:val="Hyperlink"/>
          </w:rPr>
          <w:t xml:space="preserve">Reviving the transcriptome studies: An insight into the emergence of single-molecule transcriptome sequencing</w:t>
        </w:r>
      </w:hyperlink>
      <w:r>
        <w:t xml:space="preserve">. Frontiers in Genetics 10.</w:t>
      </w:r>
    </w:p>
    <w:bookmarkEnd w:id="66"/>
    <w:bookmarkStart w:id="68" w:name="ref-Choi2016"/>
    <w:p>
      <w:pPr>
        <w:pStyle w:val="Bibliography"/>
      </w:pPr>
      <w:r>
        <w:t xml:space="preserve">15.</w:t>
      </w:r>
      <w:r>
        <w:t xml:space="preserve"> </w:t>
      </w:r>
      <w:r>
        <w:t xml:space="preserve">	</w:t>
      </w:r>
      <w:r>
        <w:t xml:space="preserve">Choi SC. 2016.</w:t>
      </w:r>
      <w:r>
        <w:t xml:space="preserve"> </w:t>
      </w:r>
      <w:hyperlink r:id="rId67">
        <w:r>
          <w:rPr>
            <w:rStyle w:val="Hyperlink"/>
          </w:rPr>
          <w:t xml:space="preserve">On the study of microbial transcriptomes using second- and third-generation sequencing technologies</w:t>
        </w:r>
      </w:hyperlink>
      <w:r>
        <w:t xml:space="preserve">. Journal of Microbiology 54:527–536.</w:t>
      </w:r>
    </w:p>
    <w:bookmarkEnd w:id="68"/>
    <w:bookmarkStart w:id="7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70"/>
    <w:bookmarkStart w:id="7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71">
        <w:r>
          <w:rPr>
            <w:rStyle w:val="Hyperlink"/>
          </w:rPr>
          <w:t xml:space="preserve">Gene ontology: Tool for the unification of biology</w:t>
        </w:r>
      </w:hyperlink>
      <w:r>
        <w:t xml:space="preserve">. Nature Genetics 25:25–29.</w:t>
      </w:r>
    </w:p>
    <w:bookmarkEnd w:id="72"/>
    <w:bookmarkStart w:id="74" w:name="ref-Kanehisa2000"/>
    <w:p>
      <w:pPr>
        <w:pStyle w:val="Bibliography"/>
      </w:pPr>
      <w:r>
        <w:t xml:space="preserve">18.</w:t>
      </w:r>
      <w:r>
        <w:t xml:space="preserve"> </w:t>
      </w:r>
      <w:r>
        <w:t xml:space="preserve">	</w:t>
      </w:r>
      <w:r>
        <w:t xml:space="preserve">Kanehisa M. 2000.</w:t>
      </w:r>
      <w:r>
        <w:t xml:space="preserve"> </w:t>
      </w:r>
      <w:hyperlink r:id="rId73">
        <w:r>
          <w:rPr>
            <w:rStyle w:val="Hyperlink"/>
          </w:rPr>
          <w:t xml:space="preserve">KEGG: Kyoto encyclopedia of genes and genomes</w:t>
        </w:r>
      </w:hyperlink>
      <w:r>
        <w:t xml:space="preserve">. Nucleic Acids Research 28:27–30.</w:t>
      </w:r>
    </w:p>
    <w:bookmarkEnd w:id="74"/>
    <w:bookmarkStart w:id="76" w:name="ref-Pertea2016"/>
    <w:p>
      <w:pPr>
        <w:pStyle w:val="Bibliography"/>
      </w:pPr>
      <w:r>
        <w:t xml:space="preserve">19.</w:t>
      </w:r>
      <w:r>
        <w:t xml:space="preserve"> </w:t>
      </w:r>
      <w:r>
        <w:t xml:space="preserve">	</w:t>
      </w:r>
      <w:r>
        <w:t xml:space="preserve">Pertea M, Kim D, Pertea GM, Leek JT, Salzberg SL. 2016.</w:t>
      </w:r>
      <w:r>
        <w:t xml:space="preserve"> </w:t>
      </w:r>
      <w:hyperlink r:id="rId75">
        <w:r>
          <w:rPr>
            <w:rStyle w:val="Hyperlink"/>
          </w:rPr>
          <w:t xml:space="preserve">Transcript-level expression analysis of RNA-seq experiments with HISAT, StringTie and ballgown</w:t>
        </w:r>
      </w:hyperlink>
      <w:r>
        <w:t xml:space="preserve">. Nature Protocols 11:1650–1667.</w:t>
      </w:r>
    </w:p>
    <w:bookmarkEnd w:id="76"/>
    <w:bookmarkStart w:id="78" w:name="ref-Deseq2"/>
    <w:p>
      <w:pPr>
        <w:pStyle w:val="Bibliography"/>
      </w:pPr>
      <w:r>
        <w:t xml:space="preserve">20.</w:t>
      </w:r>
      <w:r>
        <w:t xml:space="preserve"> </w:t>
      </w:r>
      <w:r>
        <w:t xml:space="preserve">	</w:t>
      </w:r>
      <w:r>
        <w:t xml:space="preserve">Love MI, Huber W, Anders S. 2014.</w:t>
      </w:r>
      <w:r>
        <w:t xml:space="preserve"> </w:t>
      </w:r>
      <w:hyperlink r:id="rId77">
        <w:r>
          <w:rPr>
            <w:rStyle w:val="Hyperlink"/>
          </w:rPr>
          <w:t xml:space="preserve">Moderated estimation of fold change and dispersion for RNA-seq data with DESeq2</w:t>
        </w:r>
      </w:hyperlink>
      <w:r>
        <w:t xml:space="preserve">. Genome Biology 15:550.</w:t>
      </w:r>
    </w:p>
    <w:bookmarkEnd w:id="78"/>
    <w:bookmarkStart w:id="8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9">
        <w:r>
          <w:rPr>
            <w:rStyle w:val="Hyperlink"/>
          </w:rPr>
          <w:t xml:space="preserve">DAVID: A web server for functional enrichment analysis and functional annotation of gene lists (2021 update)</w:t>
        </w:r>
      </w:hyperlink>
      <w:r>
        <w:t xml:space="preserve">. Nucleic Acids Research 50:W216–W221.</w:t>
      </w:r>
    </w:p>
    <w:bookmarkEnd w:id="80"/>
    <w:bookmarkStart w:id="8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81"/>
    <w:bookmarkStart w:id="83" w:name="ref-Saunders1993"/>
    <w:p>
      <w:pPr>
        <w:pStyle w:val="Bibliography"/>
      </w:pPr>
      <w:r>
        <w:t xml:space="preserve">23.</w:t>
      </w:r>
      <w:r>
        <w:t xml:space="preserve"> </w:t>
      </w:r>
      <w:r>
        <w:t xml:space="preserve">	</w:t>
      </w:r>
      <w:r>
        <w:t xml:space="preserve">Saunders GK, Pierson FW, Hurk JV van den. 1993.</w:t>
      </w:r>
      <w:r>
        <w:t xml:space="preserve"> </w:t>
      </w:r>
      <w:hyperlink r:id="rId82">
        <w:r>
          <w:rPr>
            <w:rStyle w:val="Hyperlink"/>
          </w:rPr>
          <w:t xml:space="preserve">Haemorhagic enteritis virus infection in turkeys: A comparison of virulent and avirulent virus infections, and a proposed pathogenesis</w:t>
        </w:r>
      </w:hyperlink>
      <w:r>
        <w:t xml:space="preserve">. Avian Pathology 22:47–58.</w:t>
      </w:r>
    </w:p>
    <w:bookmarkEnd w:id="83"/>
    <w:bookmarkStart w:id="85" w:name="ref-Barber2001"/>
    <w:p>
      <w:pPr>
        <w:pStyle w:val="Bibliography"/>
      </w:pPr>
      <w:r>
        <w:t xml:space="preserve">24.</w:t>
      </w:r>
      <w:r>
        <w:t xml:space="preserve"> </w:t>
      </w:r>
      <w:r>
        <w:t xml:space="preserve">	</w:t>
      </w:r>
      <w:r>
        <w:t xml:space="preserve">Barber GN. 2001.</w:t>
      </w:r>
      <w:r>
        <w:t xml:space="preserve"> </w:t>
      </w:r>
      <w:hyperlink r:id="rId84">
        <w:r>
          <w:rPr>
            <w:rStyle w:val="Hyperlink"/>
          </w:rPr>
          <w:t xml:space="preserve">Host defense, viruses and apoptosis</w:t>
        </w:r>
      </w:hyperlink>
      <w:r>
        <w:t xml:space="preserve">. Cell Death &amp;amp; Differentiation 8:113–126.</w:t>
      </w:r>
    </w:p>
    <w:bookmarkEnd w:id="85"/>
    <w:bookmarkStart w:id="87" w:name="ref-Hardwick1997"/>
    <w:p>
      <w:pPr>
        <w:pStyle w:val="Bibliography"/>
      </w:pPr>
      <w:r>
        <w:t xml:space="preserve">25.</w:t>
      </w:r>
      <w:r>
        <w:t xml:space="preserve"> </w:t>
      </w:r>
      <w:r>
        <w:t xml:space="preserve">	</w:t>
      </w:r>
      <w:r>
        <w:t xml:space="preserve">Hardwick JM. 1997.</w:t>
      </w:r>
      <w:r>
        <w:t xml:space="preserve"> </w:t>
      </w:r>
      <w:hyperlink r:id="rId8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7"/>
    <w:bookmarkStart w:id="8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8">
        <w:r>
          <w:rPr>
            <w:rStyle w:val="Hyperlink"/>
          </w:rPr>
          <w:t xml:space="preserve">Viral-mediated activation and inhibition of programmed cell death</w:t>
        </w:r>
      </w:hyperlink>
      <w:r>
        <w:t xml:space="preserve">. PLOS Pathogens 18:e1010718.</w:t>
      </w:r>
    </w:p>
    <w:bookmarkEnd w:id="89"/>
    <w:bookmarkStart w:id="91" w:name="ref-Zhao2012"/>
    <w:p>
      <w:pPr>
        <w:pStyle w:val="Bibliography"/>
      </w:pPr>
      <w:r>
        <w:t xml:space="preserve">27.</w:t>
      </w:r>
      <w:r>
        <w:t xml:space="preserve"> </w:t>
      </w:r>
      <w:r>
        <w:t xml:space="preserve">	</w:t>
      </w:r>
      <w:r>
        <w:t xml:space="preserve">Zhao H, Dahlö M, Isaksson A, Syvänen A-C, Pettersson U. 2012.</w:t>
      </w:r>
      <w:r>
        <w:t xml:space="preserve"> </w:t>
      </w:r>
      <w:hyperlink r:id="rId90">
        <w:r>
          <w:rPr>
            <w:rStyle w:val="Hyperlink"/>
          </w:rPr>
          <w:t xml:space="preserve">The transcriptome of the adenovirus infected cell</w:t>
        </w:r>
      </w:hyperlink>
      <w:r>
        <w:t xml:space="preserve">. Virology 424:115–128.</w:t>
      </w:r>
    </w:p>
    <w:bookmarkEnd w:id="91"/>
    <w:bookmarkStart w:id="93" w:name="ref-Guimet2016"/>
    <w:p>
      <w:pPr>
        <w:pStyle w:val="Bibliography"/>
      </w:pPr>
      <w:r>
        <w:t xml:space="preserve">28.</w:t>
      </w:r>
      <w:r>
        <w:t xml:space="preserve"> </w:t>
      </w:r>
      <w:r>
        <w:t xml:space="preserve">	</w:t>
      </w:r>
      <w:r>
        <w:t xml:space="preserve">Guimet D, Hearing P. 2016.</w:t>
      </w:r>
      <w:r>
        <w:t xml:space="preserve"> </w:t>
      </w:r>
      <w:hyperlink r:id="rId92">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3"/>
    <w:bookmarkStart w:id="95" w:name="ref-Roos2006"/>
    <w:p>
      <w:pPr>
        <w:pStyle w:val="Bibliography"/>
      </w:pPr>
      <w:r>
        <w:t xml:space="preserve">29.</w:t>
      </w:r>
      <w:r>
        <w:t xml:space="preserve"> </w:t>
      </w:r>
      <w:r>
        <w:t xml:space="preserve">	</w:t>
      </w:r>
      <w:r>
        <w:t xml:space="preserve">Roos WP, Kaina B. 2006.</w:t>
      </w:r>
      <w:r>
        <w:t xml:space="preserve"> </w:t>
      </w:r>
      <w:hyperlink r:id="rId94">
        <w:r>
          <w:rPr>
            <w:rStyle w:val="Hyperlink"/>
          </w:rPr>
          <w:t xml:space="preserve">DNA damage-induced cell death by apoptosis</w:t>
        </w:r>
      </w:hyperlink>
      <w:r>
        <w:t xml:space="preserve">. Trends in Molecular Medicine 12:440–450.</w:t>
      </w:r>
    </w:p>
    <w:bookmarkEnd w:id="95"/>
    <w:bookmarkStart w:id="97" w:name="ref-Martin1993"/>
    <w:p>
      <w:pPr>
        <w:pStyle w:val="Bibliography"/>
      </w:pPr>
      <w:r>
        <w:t xml:space="preserve">30.</w:t>
      </w:r>
      <w:r>
        <w:t xml:space="preserve"> </w:t>
      </w:r>
      <w:r>
        <w:t xml:space="preserve">	</w:t>
      </w:r>
      <w:r>
        <w:t xml:space="preserve">Martin SJ. 1993.</w:t>
      </w:r>
      <w:r>
        <w:t xml:space="preserve"> </w:t>
      </w:r>
      <w:hyperlink r:id="rId96">
        <w:r>
          <w:rPr>
            <w:rStyle w:val="Hyperlink"/>
          </w:rPr>
          <w:t xml:space="preserve">Protein or RNA synthesis inhibition induces apoptosis of mature human CD4+ t cell blasts</w:t>
        </w:r>
      </w:hyperlink>
      <w:r>
        <w:t xml:space="preserve">. Immunology Letters 35:125–134.</w:t>
      </w:r>
    </w:p>
    <w:bookmarkEnd w:id="97"/>
    <w:bookmarkStart w:id="99" w:name="ref-Christianson2022"/>
    <w:p>
      <w:pPr>
        <w:pStyle w:val="Bibliography"/>
      </w:pPr>
      <w:r>
        <w:t xml:space="preserve">31.</w:t>
      </w:r>
      <w:r>
        <w:t xml:space="preserve"> </w:t>
      </w:r>
      <w:r>
        <w:t xml:space="preserve">	</w:t>
      </w:r>
      <w:r>
        <w:t xml:space="preserve">Christianson JC, Carvalho P. 2022.</w:t>
      </w:r>
      <w:r>
        <w:t xml:space="preserve"> </w:t>
      </w:r>
      <w:hyperlink r:id="rId98">
        <w:r>
          <w:rPr>
            <w:rStyle w:val="Hyperlink"/>
          </w:rPr>
          <w:t xml:space="preserve">Order through destruction: How ER‐associated protein degradation contributes to organelle homeostasis</w:t>
        </w:r>
      </w:hyperlink>
      <w:r>
        <w:t xml:space="preserve">. The EMBO Journal 41.</w:t>
      </w:r>
    </w:p>
    <w:bookmarkEnd w:id="99"/>
    <w:bookmarkStart w:id="101" w:name="ref-vandenHurk1990"/>
    <w:p>
      <w:pPr>
        <w:pStyle w:val="Bibliography"/>
      </w:pPr>
      <w:r>
        <w:t xml:space="preserve">32.</w:t>
      </w:r>
      <w:r>
        <w:t xml:space="preserve"> </w:t>
      </w:r>
      <w:r>
        <w:t xml:space="preserve">	</w:t>
      </w:r>
      <w:r>
        <w:t xml:space="preserve">Hurk JV van den. 1990.</w:t>
      </w:r>
      <w:r>
        <w:t xml:space="preserve"> </w:t>
      </w:r>
      <w:hyperlink r:id="rId100">
        <w:r>
          <w:rPr>
            <w:rStyle w:val="Hyperlink"/>
          </w:rPr>
          <w:t xml:space="preserve">Propagation of group II avian adenoviruses in turkey and chicken leukocytes</w:t>
        </w:r>
      </w:hyperlink>
      <w:r>
        <w:t xml:space="preserve">. Avian Diseases 34:12.</w:t>
      </w:r>
    </w:p>
    <w:bookmarkEnd w:id="101"/>
    <w:bookmarkStart w:id="103" w:name="ref-Aboezz2019"/>
    <w:p>
      <w:pPr>
        <w:pStyle w:val="Bibliography"/>
      </w:pPr>
      <w:r>
        <w:t xml:space="preserve">33.</w:t>
      </w:r>
      <w:r>
        <w:t xml:space="preserve"> </w:t>
      </w:r>
      <w:r>
        <w:t xml:space="preserve">	</w:t>
      </w:r>
      <w:r>
        <w:t xml:space="preserve">Aboezz ZR, Mahsoub HM, El-Bagoury G, Pierson FW. 2019.</w:t>
      </w:r>
      <w:r>
        <w:t xml:space="preserve"> </w:t>
      </w:r>
      <w:hyperlink r:id="rId102">
        <w:r>
          <w:rPr>
            <w:rStyle w:val="Hyperlink"/>
          </w:rPr>
          <w:t xml:space="preserve">In vitro growth kinetics and gene expression analysis of the turkey adenovirus 3, a siadenovirus</w:t>
        </w:r>
      </w:hyperlink>
      <w:r>
        <w:t xml:space="preserve">. Virus Research 263:47–54.</w:t>
      </w:r>
    </w:p>
    <w:bookmarkEnd w:id="103"/>
    <w:bookmarkStart w:id="105" w:name="ref-Quaye2024"/>
    <w:p>
      <w:pPr>
        <w:pStyle w:val="Bibliography"/>
      </w:pPr>
      <w:r>
        <w:t xml:space="preserve">34.</w:t>
      </w:r>
      <w:r>
        <w:t xml:space="preserve"> </w:t>
      </w:r>
      <w:r>
        <w:t xml:space="preserve">	</w:t>
      </w:r>
      <w:r>
        <w:t xml:space="preserve">Quaye A, Pickett BE, Griffitts JS, Berges BK, Poole BD. 2024.</w:t>
      </w:r>
      <w:r>
        <w:t xml:space="preserve"> </w:t>
      </w:r>
      <w:hyperlink r:id="rId104">
        <w:r>
          <w:rPr>
            <w:rStyle w:val="Hyperlink"/>
          </w:rPr>
          <w:t xml:space="preserve">Characterizing the splice map of turkey hemorrhagic enteritis virus</w:t>
        </w:r>
      </w:hyperlink>
      <w:r>
        <w:t xml:space="preserve">. Virology Journal 21.</w:t>
      </w:r>
    </w:p>
    <w:bookmarkEnd w:id="105"/>
    <w:bookmarkStart w:id="107" w:name="ref-Fribley2009"/>
    <w:p>
      <w:pPr>
        <w:pStyle w:val="Bibliography"/>
      </w:pPr>
      <w:r>
        <w:t xml:space="preserve">35.</w:t>
      </w:r>
      <w:r>
        <w:t xml:space="preserve"> </w:t>
      </w:r>
      <w:r>
        <w:t xml:space="preserve">	</w:t>
      </w:r>
      <w:r>
        <w:t xml:space="preserve">Fribley A, Zhang K, Kaufman RJ. 2009.</w:t>
      </w:r>
      <w:r>
        <w:t xml:space="preserve"> </w:t>
      </w:r>
      <w:hyperlink r:id="rId106">
        <w:r>
          <w:rPr>
            <w:rStyle w:val="Hyperlink"/>
          </w:rPr>
          <w:t xml:space="preserve">Regulation of apoptosis by the unfolded protein response</w:t>
        </w:r>
      </w:hyperlink>
      <w:r>
        <w:t xml:space="preserve">, p. 191–204.</w:t>
      </w:r>
      <w:r>
        <w:t xml:space="preserve"> </w:t>
      </w:r>
      <w:r>
        <w:rPr>
          <w:i/>
          <w:iCs/>
        </w:rPr>
        <w:t xml:space="preserve">In</w:t>
      </w:r>
      <w:r>
        <w:t xml:space="preserve"> </w:t>
      </w:r>
      <w:r>
        <w:t xml:space="preserve">Apoptosis. Humana Press.</w:t>
      </w:r>
    </w:p>
    <w:bookmarkEnd w:id="107"/>
    <w:bookmarkStart w:id="109" w:name="ref-Read2021"/>
    <w:p>
      <w:pPr>
        <w:pStyle w:val="Bibliography"/>
      </w:pPr>
      <w:r>
        <w:t xml:space="preserve">36.</w:t>
      </w:r>
      <w:r>
        <w:t xml:space="preserve"> </w:t>
      </w:r>
      <w:r>
        <w:t xml:space="preserve">	</w:t>
      </w:r>
      <w:r>
        <w:t xml:space="preserve">Read A, Schröder M. 2021.</w:t>
      </w:r>
      <w:r>
        <w:t xml:space="preserve"> </w:t>
      </w:r>
      <w:hyperlink r:id="rId108">
        <w:r>
          <w:rPr>
            <w:rStyle w:val="Hyperlink"/>
          </w:rPr>
          <w:t xml:space="preserve">The unfolded protein response: An overview</w:t>
        </w:r>
      </w:hyperlink>
      <w:r>
        <w:t xml:space="preserve">. Biology 10:384.</w:t>
      </w:r>
    </w:p>
    <w:bookmarkEnd w:id="109"/>
    <w:bookmarkStart w:id="111" w:name="ref-Mahsoub2017"/>
    <w:p>
      <w:pPr>
        <w:pStyle w:val="Bibliography"/>
      </w:pPr>
      <w:r>
        <w:t xml:space="preserve">37.</w:t>
      </w:r>
      <w:r>
        <w:t xml:space="preserve"> </w:t>
      </w:r>
      <w:r>
        <w:t xml:space="preserve">	</w:t>
      </w:r>
      <w:r>
        <w:t xml:space="preserve">Mahsoub HM, Evans NP, Beach NM, Yuan L, Zimmerman K, Pierson FW. 2017.</w:t>
      </w:r>
      <w:r>
        <w:t xml:space="preserve"> </w:t>
      </w:r>
      <w:hyperlink r:id="rId110">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11"/>
    <w:bookmarkStart w:id="113" w:name="ref-Snakemake2021"/>
    <w:p>
      <w:pPr>
        <w:pStyle w:val="Bibliography"/>
      </w:pPr>
      <w:r>
        <w:t xml:space="preserve">38.</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12">
        <w:r>
          <w:rPr>
            <w:rStyle w:val="Hyperlink"/>
          </w:rPr>
          <w:t xml:space="preserve">Sustainable data analysis with snakemake</w:t>
        </w:r>
      </w:hyperlink>
      <w:r>
        <w:t xml:space="preserve">. F1000Research 10:33.</w:t>
      </w:r>
    </w:p>
    <w:bookmarkEnd w:id="113"/>
    <w:bookmarkStart w:id="115" w:name="ref-Martin2011"/>
    <w:p>
      <w:pPr>
        <w:pStyle w:val="Bibliography"/>
      </w:pPr>
      <w:r>
        <w:t xml:space="preserve">39.</w:t>
      </w:r>
      <w:r>
        <w:t xml:space="preserve"> </w:t>
      </w:r>
      <w:r>
        <w:t xml:space="preserve">	</w:t>
      </w:r>
      <w:r>
        <w:t xml:space="preserve">Martin M. 2011.</w:t>
      </w:r>
      <w:r>
        <w:t xml:space="preserve"> </w:t>
      </w:r>
      <w:hyperlink r:id="rId114">
        <w:r>
          <w:rPr>
            <w:rStyle w:val="Hyperlink"/>
          </w:rPr>
          <w:t xml:space="preserve">Cutadapt removes adapter sequences from high-throughput sequencing reads</w:t>
        </w:r>
      </w:hyperlink>
      <w:r>
        <w:t xml:space="preserve">. EMBnetjournal 17:10.</w:t>
      </w:r>
    </w:p>
    <w:bookmarkEnd w:id="115"/>
    <w:bookmarkStart w:id="117" w:name="ref-ggplot2"/>
    <w:p>
      <w:pPr>
        <w:pStyle w:val="Bibliography"/>
      </w:pPr>
      <w:r>
        <w:t xml:space="preserve">40.</w:t>
      </w:r>
      <w:r>
        <w:t xml:space="preserve"> </w:t>
      </w:r>
      <w:r>
        <w:t xml:space="preserve">	</w:t>
      </w:r>
      <w:r>
        <w:t xml:space="preserve">Wickham H. 2016. ggplot2: Elegant graphics for data analysis. Springer-Verlag New York.</w:t>
      </w:r>
      <w:r>
        <w:t xml:space="preserve"> </w:t>
      </w:r>
      <w:hyperlink r:id="rId116">
        <w:r>
          <w:rPr>
            <w:rStyle w:val="Hyperlink"/>
          </w:rPr>
          <w:t xml:space="preserve">https://ggplot2.tidyverse.org</w:t>
        </w:r>
      </w:hyperlink>
      <w:r>
        <w:t xml:space="preserve">.</w:t>
      </w:r>
    </w:p>
    <w:bookmarkEnd w:id="117"/>
    <w:bookmarkStart w:id="119" w:name="ref-pheatmap"/>
    <w:p>
      <w:pPr>
        <w:pStyle w:val="Bibliography"/>
      </w:pPr>
      <w:r>
        <w:t xml:space="preserve">41.</w:t>
      </w:r>
      <w:r>
        <w:t xml:space="preserve"> </w:t>
      </w:r>
      <w:r>
        <w:t xml:space="preserve">	</w:t>
      </w:r>
      <w:r>
        <w:t xml:space="preserve">Kolde R. 2019. Pheatmap: Pretty heatmaps.</w:t>
      </w:r>
      <w:r>
        <w:t xml:space="preserve"> </w:t>
      </w:r>
      <w:hyperlink r:id="rId118">
        <w:r>
          <w:rPr>
            <w:rStyle w:val="Hyperlink"/>
          </w:rPr>
          <w:t xml:space="preserve">https://CRAN.R-project.org/package=pheatmap</w:t>
        </w:r>
      </w:hyperlink>
      <w:r>
        <w:t xml:space="preserve">.</w:t>
      </w:r>
    </w:p>
    <w:bookmarkEnd w:id="119"/>
    <w:bookmarkStart w:id="121" w:name="ref-ggvenn"/>
    <w:p>
      <w:pPr>
        <w:pStyle w:val="Bibliography"/>
      </w:pPr>
      <w:r>
        <w:t xml:space="preserve">42.</w:t>
      </w:r>
      <w:r>
        <w:t xml:space="preserve"> </w:t>
      </w:r>
      <w:r>
        <w:t xml:space="preserve">	</w:t>
      </w:r>
      <w:r>
        <w:t xml:space="preserve">Yan L. 2023. Ggvenn: Draw venn diagram by ’ggplot2’.</w:t>
      </w:r>
      <w:r>
        <w:t xml:space="preserve"> </w:t>
      </w:r>
      <w:hyperlink r:id="rId120">
        <w:r>
          <w:rPr>
            <w:rStyle w:val="Hyperlink"/>
          </w:rPr>
          <w:t xml:space="preserve">https://CRAN.R-project.org/package=ggvenn</w:t>
        </w:r>
      </w:hyperlink>
      <w:r>
        <w:t xml:space="preserve">.</w:t>
      </w:r>
    </w:p>
    <w:bookmarkEnd w:id="121"/>
    <w:bookmarkStart w:id="123" w:name="ref-Livak2001"/>
    <w:p>
      <w:pPr>
        <w:pStyle w:val="Bibliography"/>
      </w:pPr>
      <w:r>
        <w:t xml:space="preserve">43.</w:t>
      </w:r>
      <w:r>
        <w:t xml:space="preserve"> </w:t>
      </w:r>
      <w:r>
        <w:t xml:space="preserve">	</w:t>
      </w:r>
      <w:hyperlink r:id="rId122">
        <w:r>
          <w:rPr>
            <w:rStyle w:val="Hyperlink"/>
          </w:rPr>
          <w:t xml:space="preserve">Livak KJ, Schmittgen TD. 2001.. Methods 25:402–408</w:t>
        </w:r>
      </w:hyperlink>
      <w:r>
        <w:t xml:space="preserve">.</w:t>
      </w:r>
    </w:p>
    <w:bookmarkEnd w:id="123"/>
    <w:bookmarkEnd w:id="124"/>
    <w:p>
      <w:r>
        <w:br w:type="page"/>
      </w:r>
    </w:p>
    <w:bookmarkEnd w:id="125"/>
    <w:bookmarkStart w:id="14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2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 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3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144749"/>
            <wp:effectExtent b="0" l="0" r="0" t="0"/>
            <wp:docPr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limited annotation of the host genome, a significant proportion of the DEGs were not recognized by the database; hence not shown here." title="" id="9" name="Picture"/>
            <a:graphic>
              <a:graphicData uri="http://schemas.openxmlformats.org/drawingml/2006/picture">
                <pic:pic>
                  <pic:nvPicPr>
                    <pic:cNvPr descr="results/upr_pathway.png" id="10" name="Picture"/>
                    <pic:cNvPicPr>
                      <a:picLocks noChangeArrowheads="1" noChangeAspect="1"/>
                    </pic:cNvPicPr>
                  </pic:nvPicPr>
                  <pic:blipFill>
                    <a:blip r:embed="rId138"/>
                    <a:stretch>
                      <a:fillRect/>
                    </a:stretch>
                  </pic:blipFill>
                  <pic:spPr bwMode="auto">
                    <a:xfrm>
                      <a:off x="0" y="0"/>
                      <a:ext cx="5943600" cy="4144749"/>
                    </a:xfrm>
                    <a:prstGeom prst="rect">
                      <a:avLst/>
                    </a:prstGeom>
                    <a:noFill/>
                    <a:ln w="9525">
                      <a:noFill/>
                      <a:headEnd/>
                      <a:tailEnd/>
                    </a:ln>
                  </pic:spPr>
                </pic:pic>
              </a:graphicData>
            </a:graphic>
          </wp:inline>
        </w:drawing>
      </w:r>
    </w:p>
    <w:p>
      <w:pPr>
        <w:pStyle w:val="ImageCaption"/>
      </w:pPr>
      <w:r>
        <w:rPr>
          <w:b/>
          <w:bCs/>
        </w:rPr>
        <w:t xml:space="preserve">Figure 5: Upregulation of ER Unfolded Protein Response (UPR).</w:t>
      </w:r>
      <w:r>
        <w:t xml:space="preserve"> </w:t>
      </w:r>
      <w:r>
        <w:t xml:space="preserve">KEGG Pathway analysis shows multiple key genes involved in the ER UPR were upregulated. All genes from our DEG list are annotated with the red star. Notably,</w:t>
      </w:r>
      <w:r>
        <w:t xml:space="preserve"> </w:t>
      </w:r>
      <w:r>
        <w:rPr>
          <w:i/>
          <w:iCs/>
        </w:rPr>
        <w:t xml:space="preserve">ATF4, PERK, VCP (p97), TRAF2, UFD1</w:t>
      </w:r>
      <w:r>
        <w:t xml:space="preserve"> </w:t>
      </w:r>
      <w:r>
        <w:t xml:space="preserve">and several BCL2 and heat shock proteins are upregulated. We see that the PERK branch of the UPR pathway linked to apoptosis is upregulated. Another pathway linked to apoptosis via</w:t>
      </w:r>
      <w:r>
        <w:t xml:space="preserve"> </w:t>
      </w:r>
      <w:r>
        <w:rPr>
          <w:i/>
          <w:iCs/>
        </w:rPr>
        <w:t xml:space="preserve">BAX</w:t>
      </w:r>
      <w:r>
        <w:t xml:space="preserve"> </w:t>
      </w:r>
      <w:r>
        <w:t xml:space="preserve">is shown as well as the ERAD protein degradation pathway. Note that due limited annotation of the host genome, a significant proportion of the DEGs were not recognized by the database; hence not shown here.</w:t>
      </w:r>
    </w:p>
    <w:p>
      <w:pPr>
        <w:pStyle w:val="CaptionedFigure"/>
      </w:pPr>
      <w:r>
        <w:drawing>
          <wp:inline>
            <wp:extent cx="5943600" cy="4953000"/>
            <wp:effectExtent b="0" l="0" r="0" t="0"/>
            <wp:docPr descr="Figure 6: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THEV-infected) are statistically differentially expressed relative to their time-matched mock-infected counterparts based on Student’s t-test and Mann-Whitney U test." title="" id="11" name="Picture"/>
            <a:graphic>
              <a:graphicData uri="http://schemas.openxmlformats.org/drawingml/2006/picture">
                <pic:pic>
                  <pic:nvPicPr>
                    <pic:cNvPr descr="results/r/figures/qpcr_validation.png" id="12" name="Picture"/>
                    <pic:cNvPicPr>
                      <a:picLocks noChangeArrowheads="1" noChangeAspect="1"/>
                    </pic:cNvPicPr>
                  </pic:nvPicPr>
                  <pic:blipFill>
                    <a:blip r:embed="rId14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6: Validation of representative DEGs involved in Apoptosis, Protein synthesis, and ER-stress responses by RT-qPCR</w:t>
      </w:r>
      <w:r>
        <w:t xml:space="preserve">. MDTC-RP19 cells infected with THEV or mock infected were subjected to RT-qPCR analysis for the relative expression of the indicated DEGs at 24-hpi.</w:t>
      </w:r>
      <w:r>
        <w:t xml:space="preserve"> </w:t>
      </w:r>
      <w:r>
        <w:rPr>
          <w:i/>
          <w:iCs/>
        </w:rPr>
        <w:t xml:space="preserve">GAPDH</w:t>
      </w:r>
      <w:r>
        <w:t xml:space="preserve"> </w:t>
      </w:r>
      <w:r>
        <w:t xml:space="preserve">was used as the internal control. Data are expressed as the mean</w:t>
      </w:r>
      <w:r>
        <w:t xml:space="preserve"> </w:t>
      </w:r>
      <m:oMath>
        <m:r>
          <m:rPr>
            <m:sty m:val="p"/>
          </m:rPr>
          <m:t>±</m:t>
        </m:r>
      </m:oMath>
      <w:r>
        <w:t xml:space="preserve"> </w:t>
      </w:r>
      <w:r>
        <w:t xml:space="preserve">SD. All genes (THEV-infected) are statistically differentially expressed relative to their time-matched mock-infected counterparts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144"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360"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360"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360"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360"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360"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360"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360"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360"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360"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360"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360"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bookmarkEnd w:id="144"/>
    <w:bookmarkStart w:id="148" w:name="supplementary-materials"/>
    <w:p>
      <w:pPr>
        <w:pStyle w:val="Heading2"/>
      </w:pPr>
      <w:r>
        <w:t xml:space="preserve">SUPPLEMENTARY MATERIALS</w:t>
      </w:r>
    </w:p>
    <w:p>
      <w:pPr>
        <w:pStyle w:val="CaptionedFigure"/>
      </w:pPr>
      <w:r>
        <w:drawing>
          <wp:inline>
            <wp:extent cx="5943600" cy="5577490"/>
            <wp:effectExtent b="0" l="0" r="0" t="0"/>
            <wp:docPr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title="" id="13" name="Picture"/>
            <a:graphic>
              <a:graphicData uri="http://schemas.openxmlformats.org/drawingml/2006/picture">
                <pic:pic>
                  <pic:nvPicPr>
                    <pic:cNvPr descr="qpcr_validation/qpcr_gel.png" id="14" name="Picture"/>
                    <pic:cNvPicPr>
                      <a:picLocks noChangeArrowheads="1" noChangeAspect="1"/>
                    </pic:cNvPicPr>
                  </pic:nvPicPr>
                  <pic:blipFill>
                    <a:blip r:embed="rId145"/>
                    <a:stretch>
                      <a:fillRect/>
                    </a:stretch>
                  </pic:blipFill>
                  <pic:spPr bwMode="auto">
                    <a:xfrm>
                      <a:off x="0" y="0"/>
                      <a:ext cx="5943600" cy="5577490"/>
                    </a:xfrm>
                    <a:prstGeom prst="rect">
                      <a:avLst/>
                    </a:prstGeom>
                    <a:noFill/>
                    <a:ln w="9525">
                      <a:noFill/>
                      <a:headEnd/>
                      <a:tailEnd/>
                    </a:ln>
                  </pic:spPr>
                </pic:pic>
              </a:graphicData>
            </a:graphic>
          </wp:inline>
        </w:drawing>
      </w:r>
    </w:p>
    <w:p>
      <w:pPr>
        <w:pStyle w:val="ImageCaption"/>
      </w:pPr>
      <w:r>
        <w:rPr>
          <w:b/>
          <w:bCs/>
        </w:rPr>
        <w:t xml:space="preserve">Figure S1: Gel Electrophoresis of RT-qPCR validation reactions.</w:t>
      </w:r>
      <w:r>
        <w:t xml:space="preserve"> </w:t>
      </w:r>
      <w:r>
        <w:t xml:space="preserve">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w:t>
      </w:r>
      <w:r>
        <w:t xml:space="preserve"> </w:t>
      </w:r>
      <w:r>
        <w:t xml:space="preserve">“mock”</w:t>
      </w:r>
      <w:r>
        <w:t xml:space="preserve"> </w:t>
      </w:r>
      <w:r>
        <w:t xml:space="preserve">and infected samples are shown in the bottom row prefixed with</w:t>
      </w:r>
      <w:r>
        <w:t xml:space="preserve"> </w:t>
      </w:r>
      <w:r>
        <w:t xml:space="preserve">“inf”</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p>
      <w:pPr>
        <w:pStyle w:val="BodyText"/>
      </w:pPr>
      <w:r>
        <w:t xml:space="preserve">Gene symbols: glyceraldehyde-3-phosphate dehydrogenase (</w:t>
      </w:r>
      <w:r>
        <w:rPr>
          <w:i/>
          <w:iCs/>
        </w:rPr>
        <w:t xml:space="preserve">GAPDH</w:t>
      </w:r>
      <w:r>
        <w:t xml:space="preserve">); apoptotic peptidase activating factor 1 (</w:t>
      </w:r>
      <w:r>
        <w:rPr>
          <w:i/>
          <w:iCs/>
        </w:rPr>
        <w:t xml:space="preserve">APAF1</w:t>
      </w:r>
      <w:r>
        <w:t xml:space="preserve">); Bcl2 modifying factor (</w:t>
      </w:r>
      <w:r>
        <w:rPr>
          <w:i/>
          <w:iCs/>
        </w:rPr>
        <w:t xml:space="preserve">BMF</w:t>
      </w:r>
      <w:r>
        <w:t xml:space="preserve">); FAS-associated protein with death domain (</w:t>
      </w:r>
      <w:r>
        <w:rPr>
          <w:i/>
          <w:iCs/>
        </w:rPr>
        <w:t xml:space="preserve">FADD</w:t>
      </w:r>
      <w:r>
        <w:t xml:space="preserve">); programmed cell death 4 (</w:t>
      </w:r>
      <w:r>
        <w:rPr>
          <w:i/>
          <w:iCs/>
        </w:rPr>
        <w:t xml:space="preserve">PDCD4</w:t>
      </w:r>
      <w:r>
        <w:t xml:space="preserve">); MAP kinase activating death domain (</w:t>
      </w:r>
      <w:r>
        <w:rPr>
          <w:i/>
          <w:iCs/>
        </w:rPr>
        <w:t xml:space="preserve">MADD</w:t>
      </w:r>
      <w:r>
        <w:t xml:space="preserve">); valosin containing protein (</w:t>
      </w:r>
      <w:r>
        <w:rPr>
          <w:i/>
          <w:iCs/>
        </w:rPr>
        <w:t xml:space="preserve">VCP/p97</w:t>
      </w:r>
      <w:r>
        <w:t xml:space="preserve">); Ubiquitin Recognition Factor in ER Associated Degradation 1 (</w:t>
      </w:r>
      <w:r>
        <w:rPr>
          <w:i/>
          <w:iCs/>
        </w:rPr>
        <w:t xml:space="preserve">UFD1</w:t>
      </w:r>
      <w:r>
        <w:t xml:space="preserve">); ER degradation enhancing alpha-mannosidase like protein 1 (</w:t>
      </w:r>
      <w:r>
        <w:rPr>
          <w:i/>
          <w:iCs/>
        </w:rPr>
        <w:t xml:space="preserve">EDEM1</w:t>
      </w:r>
      <w:r>
        <w:t xml:space="preserve">); eukaryotic translation initiation factor 3 subunit D (</w:t>
      </w:r>
      <w:r>
        <w:rPr>
          <w:i/>
          <w:iCs/>
        </w:rPr>
        <w:t xml:space="preserve">EIF3D</w:t>
      </w:r>
      <w:r>
        <w:t xml:space="preserve">); eukaryotic translation initiation factor 3 subunit M (</w:t>
      </w:r>
      <w:r>
        <w:rPr>
          <w:i/>
          <w:iCs/>
        </w:rPr>
        <w:t xml:space="preserve">EIF3M</w:t>
      </w:r>
      <w:r>
        <w:t xml:space="preserve">); ribosomal protein L8 (</w:t>
      </w:r>
      <w:r>
        <w:rPr>
          <w:i/>
          <w:iCs/>
        </w:rPr>
        <w:t xml:space="preserve">RPL8</w:t>
      </w:r>
      <w:r>
        <w:t xml:space="preserve">); ribosomal protein L10a (</w:t>
      </w:r>
      <w:r>
        <w:rPr>
          <w:i/>
          <w:iCs/>
        </w:rPr>
        <w:t xml:space="preserve">RPL10A</w:t>
      </w:r>
      <w:r>
        <w:t xml:space="preserve">)</w:t>
      </w:r>
      <w:r>
        <w:t xml:space="preserve"> </w:t>
      </w:r>
      <w:r>
        <w:t xml:space="preserve"> </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bookmarkEnd w:id="148"/>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45" Type="http://schemas.openxmlformats.org/officeDocument/2006/relationships/image" Target="media/rId145.png"/>
<Relationship Id="rId126" Type="http://schemas.openxmlformats.org/officeDocument/2006/relationships/image" Target="media/rId126.png"/>
<Relationship Id="rId132" Type="http://schemas.openxmlformats.org/officeDocument/2006/relationships/image" Target="media/rId132.png"/>
<Relationship Id="rId135" Type="http://schemas.openxmlformats.org/officeDocument/2006/relationships/image" Target="media/rId135.png"/>
<Relationship Id="rId141" Type="http://schemas.openxmlformats.org/officeDocument/2006/relationships/image" Target="media/rId141.png"/>
<Relationship Id="rId129" Type="http://schemas.openxmlformats.org/officeDocument/2006/relationships/image" Target="media/rId129.png"/>
<Relationship Id="rId138" Type="http://schemas.openxmlformats.org/officeDocument/2006/relationships/image" Target="media/rId138.png"/>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0" Type="http://schemas.openxmlformats.org/officeDocument/2006/relationships/hyperlink" Target="https://CRAN.R-project.org/package=ggvenn" TargetMode="External"/>
<Relationship Id="rId118"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2" Type="http://schemas.openxmlformats.org/officeDocument/2006/relationships/hyperlink" Target="https://doi.org/10.1006/meth.2001.1262" TargetMode="External"/>
<Relationship Id="rId106"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10"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90"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2"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04"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2"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4"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0"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08"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6"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0" Type="http://schemas.openxmlformats.org/officeDocument/2006/relationships/hyperlink" Target="https://CRAN.R-project.org/package=ggvenn" TargetMode="External"/>
<Relationship Id="rId118"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2" Type="http://schemas.openxmlformats.org/officeDocument/2006/relationships/hyperlink" Target="https://doi.org/10.1006/meth.2001.1262" TargetMode="External"/>
<Relationship Id="rId106"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10"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90"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2"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04"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2"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4"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0"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08"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6"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Turkey Hemorrhagic Enteritis Virus (THEV) Infection Highlights Upregulated Apoptosis and Breakdown Pathways That May Mediate Immunosuppression</dc:title>
  <dc:creator/>
  <cp:keywords/>
  <dcterms:created xsi:type="dcterms:W3CDTF">2025-01-09T03:06:05Z</dcterms:created>
  <dcterms:modified xsi:type="dcterms:W3CDTF">2025-01-08T20:06:08Z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